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City and Hackney Safeguarding Adults Board</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Partner Training Audit</w:t>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Board’s annual strategic plan for 2021/22 contains a section which directs that the Board will undertake a review of core safeguarding across the City and Hackney. Under this priority the Board identified that it will undertake a review of partners engagement with safeguarding training.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audit should be filled in by all partners on the Safeguarding Adults Board. It will help the Board identify whether all partners have delivered their obligations in respect of safeguarding training, what gaps need to be addressed and how this can be achieved.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5970"/>
        <w:tblGridChange w:id="0">
          <w:tblGrid>
            <w:gridCol w:w="3030"/>
            <w:gridCol w:w="5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Safeguarding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Training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Number of staff employed by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Which staff are expected to undertake safeguarding training and to what level?</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percentage of staff required to undertake safeguarding training have done so within the last three years?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safeguarding training is offered by your organisation and what is covered in this training? (Please provide bullet points of the generic content covered)</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other methods your organisation uses to promote adult safeguarding? (e.g briefing sessions, shadowing opportunities etc)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Which employees within your organisation are expected to undertake mental capacity training?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What Mental Capacity training does your organisation offer?  And what is covered in each course?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How many staff have attended this training?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Does safeguarding form a regular item on your team meetings?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Is safeguarding discussed during supervisions with staff?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Does your organisation promote training that the Board delivers?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Where are staff directed if they want to undertake training on a safeguarding subject that is not covered by your own organisation?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 </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Please return this form to </w:t>
      </w:r>
      <w:hyperlink r:id="rId6">
        <w:r w:rsidDel="00000000" w:rsidR="00000000" w:rsidRPr="00000000">
          <w:rPr>
            <w:color w:val="1155cc"/>
            <w:u w:val="single"/>
            <w:rtl w:val="0"/>
          </w:rPr>
          <w:t xml:space="preserve">chsab@hackney.gov.uk</w:t>
        </w:r>
      </w:hyperlink>
      <w:r w:rsidDel="00000000" w:rsidR="00000000" w:rsidRPr="00000000">
        <w:rPr>
          <w:rtl w:val="0"/>
        </w:rPr>
        <w:t xml:space="preserve"> by ****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sab@hackn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